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E1B75" w14:textId="5ED36C86" w:rsidR="002966E4" w:rsidRPr="002175C0" w:rsidRDefault="002966E4" w:rsidP="002966E4">
      <w:pPr>
        <w:pStyle w:val="Header"/>
        <w:tabs>
          <w:tab w:val="left" w:pos="1800"/>
        </w:tabs>
        <w:ind w:left="1800" w:hanging="1800"/>
        <w:rPr>
          <w:sz w:val="22"/>
        </w:rPr>
      </w:pPr>
      <w:bookmarkStart w:id="0" w:name="_Hlk485112250"/>
      <w:bookmarkStart w:id="1" w:name="_GoBack"/>
      <w:bookmarkEnd w:id="0"/>
      <w:bookmarkEnd w:id="1"/>
      <w:r w:rsidRPr="002175C0">
        <w:rPr>
          <w:sz w:val="22"/>
        </w:rPr>
        <w:t xml:space="preserve">3GPP TSG RAN WG1 #90                                       </w:t>
      </w:r>
      <w:r w:rsidRPr="002175C0">
        <w:rPr>
          <w:sz w:val="22"/>
        </w:rPr>
        <w:tab/>
      </w:r>
      <w:r w:rsidR="00D269FA">
        <w:rPr>
          <w:sz w:val="22"/>
        </w:rPr>
        <w:tab/>
      </w:r>
      <w:r w:rsidR="00D269FA">
        <w:rPr>
          <w:sz w:val="22"/>
        </w:rPr>
        <w:tab/>
      </w:r>
      <w:r w:rsidR="00D269FA">
        <w:rPr>
          <w:sz w:val="22"/>
        </w:rPr>
        <w:tab/>
      </w:r>
      <w:r w:rsidR="00D269FA">
        <w:rPr>
          <w:sz w:val="22"/>
        </w:rPr>
        <w:tab/>
      </w:r>
      <w:r w:rsidR="00D269FA">
        <w:rPr>
          <w:sz w:val="22"/>
        </w:rPr>
        <w:tab/>
      </w:r>
      <w:r w:rsidRPr="002175C0">
        <w:rPr>
          <w:sz w:val="22"/>
        </w:rPr>
        <w:t>R1-171</w:t>
      </w:r>
      <w:r w:rsidR="00D269FA">
        <w:rPr>
          <w:sz w:val="22"/>
        </w:rPr>
        <w:t>4453</w:t>
      </w:r>
    </w:p>
    <w:p w14:paraId="60F038FC" w14:textId="77777777" w:rsidR="002966E4" w:rsidRPr="002175C0" w:rsidRDefault="002966E4" w:rsidP="002966E4">
      <w:pPr>
        <w:pStyle w:val="Header"/>
        <w:tabs>
          <w:tab w:val="left" w:pos="1800"/>
        </w:tabs>
        <w:ind w:left="1800" w:hanging="1800"/>
        <w:rPr>
          <w:sz w:val="22"/>
        </w:rPr>
      </w:pPr>
      <w:r w:rsidRPr="002175C0">
        <w:rPr>
          <w:sz w:val="22"/>
        </w:rPr>
        <w:t>Prague, Czech Republic, 21-25 August 2017</w:t>
      </w:r>
    </w:p>
    <w:p w14:paraId="7AC70172" w14:textId="77777777" w:rsidR="002966E4" w:rsidRDefault="002966E4" w:rsidP="002966E4">
      <w:pPr>
        <w:pStyle w:val="Header"/>
        <w:tabs>
          <w:tab w:val="left" w:pos="1800"/>
        </w:tabs>
        <w:ind w:left="1800" w:hanging="1800"/>
      </w:pPr>
    </w:p>
    <w:p w14:paraId="3F8F73D1" w14:textId="77777777" w:rsidR="002966E4" w:rsidRPr="00060D83" w:rsidRDefault="002966E4" w:rsidP="002966E4">
      <w:pPr>
        <w:pStyle w:val="Header"/>
        <w:tabs>
          <w:tab w:val="left" w:pos="1800"/>
        </w:tabs>
        <w:ind w:left="1800" w:hanging="1800"/>
      </w:pPr>
      <w:r w:rsidRPr="00060D83">
        <w:t>Source:</w:t>
      </w:r>
      <w:r w:rsidRPr="00060D83">
        <w:tab/>
        <w:t>Ericsson</w:t>
      </w:r>
    </w:p>
    <w:p w14:paraId="7D5AE713" w14:textId="1CF3D5DB" w:rsidR="002966E4" w:rsidRPr="00060D83" w:rsidRDefault="002966E4" w:rsidP="002966E4">
      <w:pPr>
        <w:pStyle w:val="Header"/>
        <w:tabs>
          <w:tab w:val="left" w:pos="1800"/>
        </w:tabs>
      </w:pPr>
      <w:r w:rsidRPr="00060D83">
        <w:t>Title:</w:t>
      </w:r>
      <w:bookmarkStart w:id="2" w:name="Title"/>
      <w:bookmarkEnd w:id="2"/>
      <w:r w:rsidRPr="00060D83">
        <w:tab/>
      </w:r>
      <w:r w:rsidRPr="00674BE7">
        <w:rPr>
          <w:iCs/>
        </w:rPr>
        <w:t xml:space="preserve">On </w:t>
      </w:r>
      <w:r w:rsidR="002B647F">
        <w:rPr>
          <w:iCs/>
        </w:rPr>
        <w:t>scheduling aspects</w:t>
      </w:r>
      <w:r>
        <w:rPr>
          <w:iCs/>
        </w:rPr>
        <w:t xml:space="preserve"> for CA</w:t>
      </w:r>
    </w:p>
    <w:p w14:paraId="235FAF0D" w14:textId="68CAE90C" w:rsidR="002966E4" w:rsidRPr="00060D83" w:rsidRDefault="002966E4" w:rsidP="002966E4">
      <w:pPr>
        <w:pStyle w:val="Header"/>
        <w:tabs>
          <w:tab w:val="left" w:pos="1800"/>
        </w:tabs>
      </w:pPr>
      <w:r w:rsidRPr="00060D83">
        <w:t>Agenda Item:</w:t>
      </w:r>
      <w:bookmarkStart w:id="3" w:name="Source"/>
      <w:bookmarkEnd w:id="3"/>
      <w:r w:rsidRPr="002966E4">
        <w:rPr>
          <w:iCs/>
        </w:rPr>
        <w:tab/>
        <w:t>6</w:t>
      </w:r>
      <w:r>
        <w:rPr>
          <w:iCs/>
        </w:rPr>
        <w:t>.1.3.4</w:t>
      </w:r>
    </w:p>
    <w:p w14:paraId="28CB55F9" w14:textId="77777777" w:rsidR="002966E4" w:rsidRPr="00060D83" w:rsidRDefault="002966E4" w:rsidP="002966E4">
      <w:pPr>
        <w:pStyle w:val="Header"/>
        <w:tabs>
          <w:tab w:val="left" w:pos="1800"/>
        </w:tabs>
      </w:pPr>
      <w:r w:rsidRPr="00060D83">
        <w:t>Document for:</w:t>
      </w:r>
      <w:r w:rsidRPr="00060D83">
        <w:tab/>
      </w:r>
      <w:bookmarkStart w:id="4" w:name="DocumentFor"/>
      <w:bookmarkEnd w:id="4"/>
      <w:r w:rsidRPr="00060D83">
        <w:t>Discussion and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390ABABB"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 xml:space="preserve">g agreements </w:t>
      </w:r>
      <w:r w:rsidR="00FC1C60">
        <w:rPr>
          <w:rFonts w:cs="Arial"/>
        </w:rPr>
        <w:t>were reached related to o</w:t>
      </w:r>
      <w:r w:rsidR="00FC1C60" w:rsidRPr="00FC1C60">
        <w:rPr>
          <w:rFonts w:cs="Arial"/>
        </w:rPr>
        <w:t xml:space="preserve">n Scheduling and UCI Handling in Carrier Aggregation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Pr="003F5094">
        <w:rPr>
          <w:rFonts w:cs="Arial"/>
        </w:rPr>
        <w:t>:</w:t>
      </w:r>
    </w:p>
    <w:p w14:paraId="4B864B03" w14:textId="77777777" w:rsidR="00FC1C60" w:rsidRPr="00F53ABC" w:rsidRDefault="00FC1C60" w:rsidP="00CE5F8B">
      <w:pPr>
        <w:numPr>
          <w:ilvl w:val="0"/>
          <w:numId w:val="10"/>
        </w:numPr>
        <w:spacing w:after="0"/>
        <w:rPr>
          <w:rFonts w:eastAsia="MS Mincho"/>
          <w:iCs/>
          <w:lang w:eastAsia="ja-JP"/>
        </w:rPr>
      </w:pPr>
      <w:r w:rsidRPr="00F53ABC">
        <w:rPr>
          <w:rFonts w:eastAsia="MS Mincho"/>
          <w:iCs/>
          <w:lang w:eastAsia="ja-JP"/>
        </w:rPr>
        <w:t xml:space="preserve">Support cross-carrier scheduling for aggregated carriers with the same and different numerology. </w:t>
      </w:r>
    </w:p>
    <w:p w14:paraId="79F8A002"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FFS: the timing relationship between DCI and the corresponding PDSCH/PUSCH</w:t>
      </w:r>
    </w:p>
    <w:p w14:paraId="521F5879"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FFS: impact on the maximum number of HARQ processes</w:t>
      </w:r>
    </w:p>
    <w:p w14:paraId="1791FB97" w14:textId="77777777" w:rsidR="00FC1C60" w:rsidRDefault="00FC1C60" w:rsidP="00CE5F8B">
      <w:pPr>
        <w:numPr>
          <w:ilvl w:val="1"/>
          <w:numId w:val="10"/>
        </w:numPr>
        <w:spacing w:after="0"/>
        <w:rPr>
          <w:rFonts w:eastAsia="MS Mincho"/>
          <w:iCs/>
          <w:lang w:eastAsia="ja-JP"/>
        </w:rPr>
      </w:pPr>
      <w:r w:rsidRPr="00F53ABC">
        <w:rPr>
          <w:rFonts w:eastAsia="MS Mincho"/>
          <w:iCs/>
          <w:lang w:eastAsia="ja-JP"/>
        </w:rPr>
        <w:t xml:space="preserve">FFS: potential restrictions </w:t>
      </w:r>
      <w:r>
        <w:rPr>
          <w:rFonts w:eastAsia="MS Mincho" w:hint="eastAsia"/>
          <w:iCs/>
          <w:lang w:eastAsia="ja-JP"/>
        </w:rPr>
        <w:t xml:space="preserve">(e.g., </w:t>
      </w:r>
      <w:r w:rsidRPr="00F53ABC">
        <w:rPr>
          <w:rFonts w:eastAsia="MS Mincho"/>
          <w:iCs/>
          <w:lang w:eastAsia="ja-JP"/>
        </w:rPr>
        <w:t>on comb</w:t>
      </w:r>
      <w:r>
        <w:rPr>
          <w:rFonts w:eastAsia="MS Mincho"/>
          <w:iCs/>
          <w:lang w:eastAsia="ja-JP"/>
        </w:rPr>
        <w:t>ination of different numerology</w:t>
      </w:r>
      <w:r>
        <w:rPr>
          <w:rFonts w:eastAsia="MS Mincho" w:hint="eastAsia"/>
          <w:iCs/>
          <w:lang w:eastAsia="ja-JP"/>
        </w:rPr>
        <w:t>)</w:t>
      </w:r>
    </w:p>
    <w:p w14:paraId="566D9D55" w14:textId="77777777" w:rsidR="00FC1C60" w:rsidRPr="00F53ABC" w:rsidRDefault="00FC1C60" w:rsidP="00CE5F8B">
      <w:pPr>
        <w:numPr>
          <w:ilvl w:val="0"/>
          <w:numId w:val="10"/>
        </w:numPr>
        <w:spacing w:after="0"/>
        <w:rPr>
          <w:rFonts w:eastAsia="MS Mincho"/>
          <w:iCs/>
          <w:lang w:eastAsia="ja-JP"/>
        </w:rPr>
      </w:pPr>
      <w:r w:rsidRPr="00F53ABC">
        <w:rPr>
          <w:rFonts w:eastAsia="MS Mincho"/>
          <w:iCs/>
          <w:lang w:eastAsia="ja-JP"/>
        </w:rPr>
        <w:t xml:space="preserve">Support joint UCI feedback for aggregated carriers with the same or different numerology. </w:t>
      </w:r>
    </w:p>
    <w:p w14:paraId="463998AD"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 xml:space="preserve">FFS: the timing relationship between PDSCH and the corresponding HARQ-ACK </w:t>
      </w:r>
    </w:p>
    <w:p w14:paraId="2AA2F3AD"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 xml:space="preserve">FFS: impact on maximum number of HARQ process </w:t>
      </w:r>
    </w:p>
    <w:p w14:paraId="486AEA9F" w14:textId="77777777" w:rsidR="00FC1C60" w:rsidRPr="00F53ABC" w:rsidRDefault="00FC1C60" w:rsidP="00CE5F8B">
      <w:pPr>
        <w:numPr>
          <w:ilvl w:val="1"/>
          <w:numId w:val="10"/>
        </w:numPr>
        <w:spacing w:after="0"/>
        <w:rPr>
          <w:rFonts w:eastAsia="MS Mincho"/>
          <w:iCs/>
          <w:lang w:eastAsia="ja-JP"/>
        </w:rPr>
      </w:pPr>
      <w:r w:rsidRPr="00F53ABC">
        <w:rPr>
          <w:rFonts w:eastAsia="MS Mincho"/>
          <w:iCs/>
          <w:lang w:eastAsia="ja-JP"/>
        </w:rPr>
        <w:t>FFS: potential restrictions</w:t>
      </w:r>
      <w:r>
        <w:rPr>
          <w:rFonts w:eastAsia="MS Mincho" w:hint="eastAsia"/>
          <w:iCs/>
          <w:lang w:eastAsia="ja-JP"/>
        </w:rPr>
        <w:t xml:space="preserve"> (e.g., </w:t>
      </w:r>
      <w:r w:rsidRPr="00F53ABC">
        <w:rPr>
          <w:rFonts w:eastAsia="MS Mincho"/>
          <w:iCs/>
          <w:lang w:eastAsia="ja-JP"/>
        </w:rPr>
        <w:t>on comb</w:t>
      </w:r>
      <w:r>
        <w:rPr>
          <w:rFonts w:eastAsia="MS Mincho"/>
          <w:iCs/>
          <w:lang w:eastAsia="ja-JP"/>
        </w:rPr>
        <w:t>ination of different numerology</w:t>
      </w:r>
      <w:r>
        <w:rPr>
          <w:rFonts w:eastAsia="MS Mincho" w:hint="eastAsia"/>
          <w:iCs/>
          <w:lang w:eastAsia="ja-JP"/>
        </w:rPr>
        <w:t>)</w:t>
      </w:r>
    </w:p>
    <w:p w14:paraId="48B7A722" w14:textId="77777777" w:rsidR="00FC1C60" w:rsidRPr="001E5FF1" w:rsidRDefault="00FC1C60" w:rsidP="00CE5F8B">
      <w:pPr>
        <w:numPr>
          <w:ilvl w:val="0"/>
          <w:numId w:val="10"/>
        </w:numPr>
        <w:spacing w:after="0"/>
        <w:rPr>
          <w:rFonts w:eastAsia="MS Mincho"/>
          <w:iCs/>
          <w:lang w:eastAsia="ja-JP"/>
        </w:rPr>
      </w:pPr>
      <w:r w:rsidRPr="001E5FF1">
        <w:rPr>
          <w:rFonts w:eastAsia="MS Mincho"/>
          <w:iCs/>
          <w:lang w:eastAsia="ja-JP"/>
        </w:rPr>
        <w:t>Support one PUCCH in one cell group for NR DC</w:t>
      </w:r>
      <w:r>
        <w:rPr>
          <w:rFonts w:eastAsia="MS Mincho" w:hint="eastAsia"/>
          <w:iCs/>
          <w:lang w:eastAsia="ja-JP"/>
        </w:rPr>
        <w:t>/CA</w:t>
      </w:r>
    </w:p>
    <w:p w14:paraId="4893A73B" w14:textId="77777777" w:rsidR="00FC1C60" w:rsidRPr="001E5FF1" w:rsidRDefault="00FC1C60" w:rsidP="00CE5F8B">
      <w:pPr>
        <w:numPr>
          <w:ilvl w:val="1"/>
          <w:numId w:val="10"/>
        </w:numPr>
        <w:spacing w:after="0"/>
        <w:rPr>
          <w:rFonts w:eastAsia="MS Mincho"/>
          <w:iCs/>
          <w:lang w:eastAsia="ja-JP"/>
        </w:rPr>
      </w:pPr>
      <w:r>
        <w:rPr>
          <w:rFonts w:eastAsia="MS Mincho" w:hint="eastAsia"/>
          <w:iCs/>
          <w:lang w:eastAsia="ja-JP"/>
        </w:rPr>
        <w:t xml:space="preserve">FFS: </w:t>
      </w:r>
      <w:r w:rsidRPr="001E5FF1">
        <w:rPr>
          <w:rFonts w:eastAsia="MS Mincho" w:hint="eastAsia"/>
          <w:iCs/>
          <w:lang w:eastAsia="ja-JP"/>
        </w:rPr>
        <w:t>T</w:t>
      </w:r>
      <w:r w:rsidRPr="001E5FF1">
        <w:rPr>
          <w:rFonts w:eastAsia="MS Mincho"/>
          <w:iCs/>
          <w:lang w:eastAsia="ja-JP"/>
        </w:rPr>
        <w:t>he carrier for PUCCH transmission can be configured within one cell group</w:t>
      </w:r>
    </w:p>
    <w:p w14:paraId="63836124" w14:textId="6690ED14" w:rsidR="00FC1C60" w:rsidRDefault="00FC1C60" w:rsidP="00CE5F8B">
      <w:pPr>
        <w:numPr>
          <w:ilvl w:val="1"/>
          <w:numId w:val="10"/>
        </w:numPr>
        <w:spacing w:after="0"/>
        <w:rPr>
          <w:rFonts w:eastAsia="MS Mincho"/>
          <w:iCs/>
          <w:lang w:eastAsia="ja-JP"/>
        </w:rPr>
      </w:pPr>
      <w:r w:rsidRPr="001E5FF1">
        <w:rPr>
          <w:rFonts w:eastAsia="MS Mincho"/>
          <w:iCs/>
          <w:lang w:eastAsia="ja-JP"/>
        </w:rPr>
        <w:t>FFS: potential restrictions</w:t>
      </w:r>
      <w:r w:rsidRPr="001E5FF1">
        <w:rPr>
          <w:rFonts w:eastAsia="MS Mincho" w:hint="eastAsia"/>
          <w:iCs/>
          <w:lang w:eastAsia="ja-JP"/>
        </w:rPr>
        <w:t xml:space="preserve"> (e.g., </w:t>
      </w:r>
      <w:r w:rsidRPr="001E5FF1">
        <w:rPr>
          <w:rFonts w:eastAsia="MS Mincho"/>
          <w:iCs/>
          <w:lang w:eastAsia="ja-JP"/>
        </w:rPr>
        <w:t>on combination of different numerology</w:t>
      </w:r>
      <w:r w:rsidRPr="001E5FF1">
        <w:rPr>
          <w:rFonts w:eastAsia="MS Mincho" w:hint="eastAsia"/>
          <w:iCs/>
          <w:lang w:eastAsia="ja-JP"/>
        </w:rPr>
        <w:t>, on combination of different frequency bands)</w:t>
      </w:r>
    </w:p>
    <w:p w14:paraId="22588902" w14:textId="77777777" w:rsidR="002966E4" w:rsidRDefault="002966E4" w:rsidP="002966E4">
      <w:pPr>
        <w:spacing w:after="0"/>
        <w:rPr>
          <w:rFonts w:eastAsia="MS Mincho"/>
          <w:iCs/>
          <w:lang w:eastAsia="ja-JP"/>
        </w:rPr>
      </w:pPr>
    </w:p>
    <w:p w14:paraId="60E40EE0" w14:textId="16179915" w:rsidR="002966E4" w:rsidRPr="001E5FF1" w:rsidRDefault="002966E4" w:rsidP="002966E4">
      <w:pPr>
        <w:spacing w:after="0"/>
        <w:rPr>
          <w:rFonts w:eastAsia="MS Mincho"/>
          <w:iCs/>
          <w:lang w:eastAsia="ja-JP"/>
        </w:rPr>
      </w:pPr>
      <w:r>
        <w:rPr>
          <w:rFonts w:eastAsia="MS Mincho"/>
          <w:iCs/>
          <w:lang w:eastAsia="ja-JP"/>
        </w:rPr>
        <w:t>After the RAN1 adhoc #2 meeting the following was agreed:</w:t>
      </w:r>
    </w:p>
    <w:p w14:paraId="18B35A26" w14:textId="545F2EB8"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On the search space</w:t>
      </w:r>
    </w:p>
    <w:p w14:paraId="3396182E" w14:textId="3BDAC01D"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A UE monitors PDCCH candidates in common search space(s) at least for RMSI and UE specific search space(s) on Primary Component Carrier (PCC)</w:t>
      </w:r>
    </w:p>
    <w:p w14:paraId="202A7547" w14:textId="1A67EA3B"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A UE monitors PDCCH candidates at least on UE-specific search space(s) for an Secondary Component Carrier (SCC)</w:t>
      </w:r>
    </w:p>
    <w:p w14:paraId="17E1F319" w14:textId="3A6C1075"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 xml:space="preserve">Support cross carrier scheduling with CIF </w:t>
      </w:r>
    </w:p>
    <w:p w14:paraId="5237B270" w14:textId="64363188"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NR at least support that a carrier is scheduled by one and only one carrier</w:t>
      </w:r>
    </w:p>
    <w:p w14:paraId="3DC560E8" w14:textId="27C59E62"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FFS: the number of CIF bits</w:t>
      </w:r>
    </w:p>
    <w:p w14:paraId="58238589" w14:textId="1979592C"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FFS: BWP aspects for cross carrier scheduling</w:t>
      </w:r>
    </w:p>
    <w:p w14:paraId="65C6D021" w14:textId="51BD389C"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For cross-carrier scheduling, PDCCH and the scheduled PDSCH can have the same or different numerologies.</w:t>
      </w:r>
    </w:p>
    <w:p w14:paraId="172B6964" w14:textId="7F64A130" w:rsidR="002966E4" w:rsidRPr="002966E4" w:rsidRDefault="002966E4" w:rsidP="002966E4">
      <w:pPr>
        <w:spacing w:after="0"/>
        <w:rPr>
          <w:rFonts w:eastAsia="MS Mincho"/>
          <w:lang w:eastAsia="ja-JP"/>
        </w:rPr>
      </w:pPr>
      <w:r>
        <w:rPr>
          <w:rFonts w:eastAsia="MS Mincho"/>
          <w:lang w:eastAsia="ja-JP"/>
        </w:rPr>
        <w:t xml:space="preserve">• </w:t>
      </w:r>
      <w:r w:rsidRPr="002966E4">
        <w:rPr>
          <w:rFonts w:eastAsia="MS Mincho"/>
          <w:lang w:eastAsia="ja-JP"/>
        </w:rPr>
        <w:t>For self-scheduling, PDCCH and the scheduled PDSCH have the same numerology</w:t>
      </w:r>
    </w:p>
    <w:p w14:paraId="7776EE47" w14:textId="161A217C" w:rsidR="002966E4" w:rsidRPr="002966E4" w:rsidRDefault="00180366" w:rsidP="00CE5F8B">
      <w:pPr>
        <w:pStyle w:val="ListParagraph"/>
        <w:numPr>
          <w:ilvl w:val="1"/>
          <w:numId w:val="10"/>
        </w:numPr>
        <w:rPr>
          <w:rFonts w:eastAsia="MS Mincho"/>
          <w:lang w:eastAsia="ja-JP"/>
        </w:rPr>
      </w:pPr>
      <w:r w:rsidRPr="002966E4">
        <w:rPr>
          <w:rFonts w:eastAsia="MS Mincho"/>
          <w:lang w:eastAsia="ja-JP"/>
        </w:rPr>
        <w:t>FFS whether for self-scheduling, PDCCH and the scheduled PDSCH can have different numerologies</w:t>
      </w:r>
      <w:r w:rsidR="002966E4" w:rsidRPr="002966E4">
        <w:rPr>
          <w:rFonts w:eastAsia="MS Mincho"/>
          <w:lang w:eastAsia="ja-JP"/>
        </w:rPr>
        <w:t>.</w:t>
      </w:r>
    </w:p>
    <w:p w14:paraId="28A0088A" w14:textId="466C4CAE" w:rsidR="002966E4" w:rsidRPr="002966E4" w:rsidRDefault="002966E4" w:rsidP="002966E4">
      <w:pPr>
        <w:spacing w:after="0"/>
        <w:rPr>
          <w:rFonts w:eastAsia="MS Mincho"/>
          <w:lang w:eastAsia="ja-JP"/>
        </w:rPr>
      </w:pPr>
      <w:r w:rsidRPr="002966E4">
        <w:rPr>
          <w:rFonts w:eastAsia="MS Mincho"/>
          <w:lang w:eastAsia="ja-JP"/>
        </w:rPr>
        <w:t>•</w:t>
      </w:r>
      <w:r>
        <w:rPr>
          <w:rFonts w:eastAsia="MS Mincho"/>
          <w:lang w:eastAsia="ja-JP"/>
        </w:rPr>
        <w:t xml:space="preserve"> </w:t>
      </w:r>
      <w:r w:rsidRPr="002966E4">
        <w:rPr>
          <w:rFonts w:eastAsia="MS Mincho"/>
          <w:lang w:eastAsia="ja-JP"/>
        </w:rPr>
        <w:t>For self and cross-carrier scheduling, PDCCH and the scheduled PUSCH can have the same or different numerologies.</w:t>
      </w:r>
    </w:p>
    <w:p w14:paraId="1E745B98" w14:textId="3FA37E79" w:rsidR="002966E4" w:rsidRPr="002966E4" w:rsidRDefault="002966E4" w:rsidP="002966E4">
      <w:pPr>
        <w:spacing w:after="0"/>
        <w:rPr>
          <w:rFonts w:eastAsia="MS Mincho"/>
          <w:lang w:eastAsia="ja-JP"/>
        </w:rPr>
      </w:pPr>
      <w:r w:rsidRPr="002966E4">
        <w:rPr>
          <w:rFonts w:eastAsia="MS Mincho"/>
          <w:lang w:eastAsia="ja-JP"/>
        </w:rPr>
        <w:t>• When numerology are different between PDCCH and the scheduled transmission, the time granularity indicated in the DCI for the timing relationship between the end of PDCCH and the corresponding scheduled transmission is based on the numerology of the scheduled transmission.</w:t>
      </w:r>
    </w:p>
    <w:p w14:paraId="70EA984E" w14:textId="092C4B7A" w:rsidR="002966E4" w:rsidRPr="002966E4" w:rsidRDefault="002966E4" w:rsidP="002966E4">
      <w:pPr>
        <w:spacing w:after="0"/>
        <w:rPr>
          <w:rFonts w:eastAsia="MS Mincho"/>
          <w:lang w:eastAsia="ja-JP"/>
        </w:rPr>
      </w:pPr>
      <w:r w:rsidRPr="002966E4">
        <w:rPr>
          <w:rFonts w:eastAsia="MS Mincho"/>
          <w:lang w:eastAsia="ja-JP"/>
        </w:rPr>
        <w:t>• For multiple timing advance groups</w:t>
      </w:r>
    </w:p>
    <w:p w14:paraId="72E1CA1D" w14:textId="2B553AAE" w:rsidR="002966E4" w:rsidRPr="002966E4" w:rsidRDefault="002966E4" w:rsidP="00CE5F8B">
      <w:pPr>
        <w:pStyle w:val="ListParagraph"/>
        <w:numPr>
          <w:ilvl w:val="1"/>
          <w:numId w:val="10"/>
        </w:numPr>
        <w:rPr>
          <w:rFonts w:eastAsia="MS Mincho"/>
          <w:lang w:eastAsia="ja-JP"/>
        </w:rPr>
      </w:pPr>
      <w:r w:rsidRPr="002966E4">
        <w:rPr>
          <w:rFonts w:eastAsia="MS Mincho"/>
          <w:lang w:eastAsia="ja-JP"/>
        </w:rPr>
        <w:t>LTE timing difference requirement can be used as a starting point</w:t>
      </w:r>
    </w:p>
    <w:p w14:paraId="5B13BC62" w14:textId="07539731" w:rsidR="002966E4" w:rsidRPr="00E80B1C" w:rsidRDefault="002966E4" w:rsidP="00CE5F8B">
      <w:pPr>
        <w:pStyle w:val="ListParagraph"/>
        <w:numPr>
          <w:ilvl w:val="0"/>
          <w:numId w:val="13"/>
        </w:numPr>
        <w:rPr>
          <w:rFonts w:eastAsia="MS Mincho"/>
          <w:lang w:eastAsia="ja-JP"/>
        </w:rPr>
      </w:pPr>
      <w:r w:rsidRPr="00E80B1C">
        <w:rPr>
          <w:rFonts w:eastAsia="MS Mincho"/>
          <w:lang w:eastAsia="ja-JP"/>
        </w:rPr>
        <w:t>FFS factors related to this requirement.</w:t>
      </w:r>
    </w:p>
    <w:p w14:paraId="1F2EF390" w14:textId="2E3E8867" w:rsidR="002966E4" w:rsidRPr="00E80B1C" w:rsidRDefault="002966E4" w:rsidP="00CE5F8B">
      <w:pPr>
        <w:pStyle w:val="ListParagraph"/>
        <w:numPr>
          <w:ilvl w:val="1"/>
          <w:numId w:val="10"/>
        </w:numPr>
        <w:rPr>
          <w:rFonts w:eastAsia="MS Mincho"/>
          <w:lang w:eastAsia="ja-JP"/>
        </w:rPr>
      </w:pPr>
      <w:r w:rsidRPr="00E80B1C">
        <w:rPr>
          <w:rFonts w:eastAsia="MS Mincho"/>
          <w:lang w:eastAsia="ja-JP"/>
        </w:rPr>
        <w:t>Support PRACH transmission for timing advance acquisition on SCC</w:t>
      </w:r>
    </w:p>
    <w:p w14:paraId="6742ADBB" w14:textId="4BD0AEB6" w:rsidR="002966E4" w:rsidRPr="002966E4" w:rsidRDefault="00E80B1C" w:rsidP="002966E4">
      <w:pPr>
        <w:spacing w:after="0"/>
        <w:rPr>
          <w:rFonts w:eastAsia="MS Mincho"/>
          <w:lang w:eastAsia="ja-JP"/>
        </w:rPr>
      </w:pPr>
      <w:r>
        <w:rPr>
          <w:rFonts w:eastAsia="MS Mincho"/>
          <w:lang w:eastAsia="ja-JP"/>
        </w:rPr>
        <w:t xml:space="preserve">• </w:t>
      </w:r>
      <w:r w:rsidR="002966E4" w:rsidRPr="002966E4">
        <w:rPr>
          <w:rFonts w:eastAsia="MS Mincho"/>
          <w:lang w:eastAsia="ja-JP"/>
        </w:rPr>
        <w:t>NR Supports 2 cell groups for PUCCH for NR DC</w:t>
      </w:r>
    </w:p>
    <w:p w14:paraId="51B22030" w14:textId="2D5E04D3" w:rsidR="003707D2" w:rsidRPr="00E80B1C" w:rsidRDefault="002966E4" w:rsidP="00CE5F8B">
      <w:pPr>
        <w:pStyle w:val="ListParagraph"/>
        <w:numPr>
          <w:ilvl w:val="1"/>
          <w:numId w:val="10"/>
        </w:numPr>
        <w:rPr>
          <w:rFonts w:eastAsia="MS Mincho"/>
          <w:lang w:val="en-GB" w:eastAsia="ja-JP"/>
        </w:rPr>
      </w:pPr>
      <w:r w:rsidRPr="00E80B1C">
        <w:rPr>
          <w:rFonts w:eastAsia="MS Mincho"/>
          <w:lang w:eastAsia="ja-JP"/>
        </w:rPr>
        <w:lastRenderedPageBreak/>
        <w:t>FFS: NR supports 2 cell groups for PUCCH for NR CA</w:t>
      </w:r>
    </w:p>
    <w:p w14:paraId="4B1FBC5C" w14:textId="03A0808D" w:rsidR="00E80B1C" w:rsidRPr="00E80B1C" w:rsidRDefault="00E80B1C" w:rsidP="00E80B1C">
      <w:pPr>
        <w:spacing w:after="0"/>
        <w:rPr>
          <w:rFonts w:eastAsia="MS Mincho"/>
          <w:lang w:eastAsia="ja-JP"/>
        </w:rPr>
      </w:pPr>
      <w:r>
        <w:rPr>
          <w:rFonts w:eastAsia="MS Mincho"/>
          <w:lang w:eastAsia="ja-JP"/>
        </w:rPr>
        <w:t xml:space="preserve">• </w:t>
      </w:r>
      <w:r w:rsidRPr="00E80B1C">
        <w:rPr>
          <w:rFonts w:eastAsia="MS Mincho"/>
          <w:lang w:eastAsia="ja-JP"/>
        </w:rPr>
        <w:t>HARQ-ACK transmission related to multiple DL component carriers is supported for DL component carriers operating with the same and different numerology</w:t>
      </w:r>
    </w:p>
    <w:p w14:paraId="0AEBEFCB" w14:textId="22266C7A" w:rsidR="00E80B1C" w:rsidRPr="00E80B1C" w:rsidRDefault="00E80B1C" w:rsidP="00CE5F8B">
      <w:pPr>
        <w:pStyle w:val="ListParagraph"/>
        <w:numPr>
          <w:ilvl w:val="1"/>
          <w:numId w:val="10"/>
        </w:numPr>
        <w:rPr>
          <w:rFonts w:eastAsia="MS Mincho"/>
          <w:lang w:eastAsia="ja-JP"/>
        </w:rPr>
      </w:pPr>
      <w:r w:rsidRPr="00E80B1C">
        <w:rPr>
          <w:rFonts w:eastAsia="MS Mincho"/>
          <w:lang w:eastAsia="ja-JP"/>
        </w:rPr>
        <w:t>The time granularity of a HARQ-ACK transmission, indicated in the DCI scheduling the PDSCH, is based on the numerology of PUCCH transmission.</w:t>
      </w:r>
    </w:p>
    <w:p w14:paraId="5925009D" w14:textId="14F10146" w:rsidR="004000E8" w:rsidRDefault="004000E8" w:rsidP="00CE0424">
      <w:pPr>
        <w:pStyle w:val="Heading1"/>
        <w:rPr>
          <w:lang w:val="en-US"/>
        </w:rPr>
      </w:pPr>
      <w:bookmarkStart w:id="5" w:name="_Ref178064866"/>
      <w:r w:rsidRPr="007B78FE">
        <w:rPr>
          <w:lang w:val="en-US"/>
        </w:rPr>
        <w:t>Discussion</w:t>
      </w:r>
      <w:bookmarkEnd w:id="5"/>
    </w:p>
    <w:p w14:paraId="0A545A23" w14:textId="4937D65C" w:rsidR="00E80B1C" w:rsidRDefault="00E80B1C" w:rsidP="00D94796">
      <w:pPr>
        <w:pStyle w:val="Heading2"/>
      </w:pPr>
      <w:r>
        <w:t>Cross-carrier scheduling</w:t>
      </w:r>
    </w:p>
    <w:p w14:paraId="7E27568B" w14:textId="09CE9FA2" w:rsidR="00E80B1C" w:rsidRDefault="00E80B1C" w:rsidP="00E80B1C">
      <w:r>
        <w:t xml:space="preserve">For cross-carrier scheduling reusing the LTE design is sufficient correspondingly it is sufficient to have 3 bits of CIF being possible to be configured for UL and DL scheduling correspondingly. It is important to remember that the key scenario for cross-carrier scheduling within LTE does not exist within NR either, i.e. to </w:t>
      </w:r>
      <w:r w:rsidR="00BF4987">
        <w:t xml:space="preserve">protect </w:t>
      </w:r>
      <w:r>
        <w:t>the control channel from interference from a neighbouring cell. This as the control channel in DL can be configured on different frequency resources in different cells within an operator network. Further no specific consideration needs to be done for BWP for cross-carrier scheduling other than what has already been agreed i.e. for a BWP an CORESET is associated.</w:t>
      </w:r>
    </w:p>
    <w:p w14:paraId="6E6BC0B3" w14:textId="749D57FE" w:rsidR="00E80B1C" w:rsidRPr="00E80B1C" w:rsidRDefault="00E80B1C" w:rsidP="00E80B1C">
      <w:pPr>
        <w:rPr>
          <w:b/>
        </w:rPr>
      </w:pPr>
      <w:r w:rsidRPr="00E80B1C">
        <w:rPr>
          <w:b/>
        </w:rPr>
        <w:t>Proposal</w:t>
      </w:r>
    </w:p>
    <w:p w14:paraId="5345949F" w14:textId="46C7C04D" w:rsidR="00E80B1C" w:rsidRPr="008435CE" w:rsidRDefault="00E80B1C" w:rsidP="00CE5F8B">
      <w:pPr>
        <w:pStyle w:val="ListParagraph"/>
        <w:numPr>
          <w:ilvl w:val="0"/>
          <w:numId w:val="14"/>
        </w:numPr>
        <w:rPr>
          <w:rFonts w:ascii="Arial" w:hAnsi="Arial" w:cs="Arial"/>
          <w:i/>
          <w:sz w:val="20"/>
          <w:szCs w:val="20"/>
        </w:rPr>
      </w:pPr>
      <w:r w:rsidRPr="008435CE">
        <w:rPr>
          <w:rFonts w:ascii="Arial" w:hAnsi="Arial" w:cs="Arial"/>
          <w:i/>
          <w:sz w:val="20"/>
          <w:szCs w:val="20"/>
        </w:rPr>
        <w:t>CIF field is 3 bits</w:t>
      </w:r>
    </w:p>
    <w:p w14:paraId="5521A4E6" w14:textId="087D87AC" w:rsidR="008435CE" w:rsidRPr="008435CE" w:rsidRDefault="008435CE" w:rsidP="00CE5F8B">
      <w:pPr>
        <w:pStyle w:val="ListParagraph"/>
        <w:numPr>
          <w:ilvl w:val="0"/>
          <w:numId w:val="14"/>
        </w:numPr>
        <w:rPr>
          <w:rFonts w:ascii="Arial" w:hAnsi="Arial" w:cs="Arial"/>
          <w:i/>
          <w:sz w:val="20"/>
          <w:szCs w:val="20"/>
        </w:rPr>
      </w:pPr>
      <w:r w:rsidRPr="008435CE">
        <w:rPr>
          <w:rFonts w:ascii="Arial" w:hAnsi="Arial" w:cs="Arial"/>
          <w:i/>
          <w:sz w:val="20"/>
          <w:szCs w:val="20"/>
        </w:rPr>
        <w:t>No specific consideration is done for BWP and cross-carrier scheduling</w:t>
      </w:r>
    </w:p>
    <w:p w14:paraId="50753466" w14:textId="524097A1" w:rsidR="008435CE" w:rsidRDefault="008435CE" w:rsidP="00D94796">
      <w:pPr>
        <w:pStyle w:val="Heading2"/>
      </w:pPr>
      <w:r>
        <w:t>On search space design</w:t>
      </w:r>
    </w:p>
    <w:p w14:paraId="1305EAE9" w14:textId="5550B490" w:rsidR="008435CE" w:rsidRDefault="008435CE" w:rsidP="008435CE">
      <w:r>
        <w:t>The UE monitors for random access response message and paging in the common search space as in LTE independent on if the UE is configured with CA or not. The UE does not monitor the common search space on secondary component carriers</w:t>
      </w:r>
    </w:p>
    <w:p w14:paraId="142BE483" w14:textId="6D18BD08" w:rsidR="008435CE" w:rsidRPr="008435CE" w:rsidRDefault="008435CE" w:rsidP="008435CE">
      <w:pPr>
        <w:rPr>
          <w:b/>
        </w:rPr>
      </w:pPr>
      <w:r w:rsidRPr="008435CE">
        <w:rPr>
          <w:b/>
        </w:rPr>
        <w:t>Proposal</w:t>
      </w:r>
    </w:p>
    <w:p w14:paraId="6918D07E" w14:textId="5F921B59" w:rsidR="008435CE" w:rsidRPr="008435CE" w:rsidRDefault="008435CE" w:rsidP="00CE5F8B">
      <w:pPr>
        <w:pStyle w:val="ListParagraph"/>
        <w:numPr>
          <w:ilvl w:val="0"/>
          <w:numId w:val="15"/>
        </w:numPr>
        <w:rPr>
          <w:rFonts w:ascii="Arial" w:hAnsi="Arial" w:cs="Arial"/>
          <w:i/>
          <w:sz w:val="20"/>
          <w:szCs w:val="20"/>
        </w:rPr>
      </w:pPr>
      <w:r w:rsidRPr="008435CE">
        <w:rPr>
          <w:rFonts w:ascii="Arial" w:hAnsi="Arial" w:cs="Arial"/>
          <w:i/>
          <w:sz w:val="20"/>
          <w:szCs w:val="20"/>
        </w:rPr>
        <w:t>The UE monitors for random access response messages and paging on the common search space</w:t>
      </w:r>
    </w:p>
    <w:p w14:paraId="02DC69EB" w14:textId="5F666DB5" w:rsidR="008435CE" w:rsidRPr="008435CE" w:rsidRDefault="008435CE" w:rsidP="00CE5F8B">
      <w:pPr>
        <w:pStyle w:val="ListParagraph"/>
        <w:numPr>
          <w:ilvl w:val="0"/>
          <w:numId w:val="15"/>
        </w:numPr>
        <w:rPr>
          <w:rFonts w:ascii="Arial" w:hAnsi="Arial" w:cs="Arial"/>
          <w:i/>
          <w:sz w:val="20"/>
          <w:szCs w:val="20"/>
        </w:rPr>
      </w:pPr>
      <w:r w:rsidRPr="008435CE">
        <w:rPr>
          <w:rFonts w:ascii="Arial" w:hAnsi="Arial" w:cs="Arial"/>
          <w:i/>
          <w:sz w:val="20"/>
          <w:szCs w:val="20"/>
        </w:rPr>
        <w:t>The UE does not monitor the common search space on secondary component carriers</w:t>
      </w:r>
    </w:p>
    <w:p w14:paraId="51605DA0" w14:textId="29C8AD2A" w:rsidR="008435CE" w:rsidRDefault="008435CE" w:rsidP="00D94796">
      <w:pPr>
        <w:pStyle w:val="Heading2"/>
      </w:pPr>
      <w:r>
        <w:t>Multiple timing advance</w:t>
      </w:r>
    </w:p>
    <w:p w14:paraId="12A7E021" w14:textId="04D8ECB2" w:rsidR="008435CE" w:rsidRDefault="008435CE" w:rsidP="008435CE">
      <w:r>
        <w:t>To simplify the multiple timing advance discussion, it is assumed that we start from the LTE design in general, i.e. the UE supports up to 4 timing advance groups. Further only non-contention based random access response is supported for secondary timing advance groups. The corresponding random access response message as in LTE delivered on the primary component carrier</w:t>
      </w:r>
    </w:p>
    <w:p w14:paraId="10FD10C1" w14:textId="39D2F986" w:rsidR="008435CE" w:rsidRPr="008435CE" w:rsidRDefault="008435CE" w:rsidP="008435CE">
      <w:pPr>
        <w:rPr>
          <w:b/>
        </w:rPr>
      </w:pPr>
      <w:r w:rsidRPr="008435CE">
        <w:rPr>
          <w:b/>
        </w:rPr>
        <w:t>Proposal</w:t>
      </w:r>
    </w:p>
    <w:p w14:paraId="6DBB55E1" w14:textId="44ABE0F0" w:rsidR="008435CE"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4 timing advance groups are support</w:t>
      </w:r>
      <w:r w:rsidR="00BF4987">
        <w:rPr>
          <w:rFonts w:ascii="Arial" w:eastAsia="Times New Roman" w:hAnsi="Arial"/>
          <w:i/>
          <w:sz w:val="20"/>
          <w:szCs w:val="20"/>
          <w:lang w:val="en-GB" w:eastAsia="zh-CN"/>
        </w:rPr>
        <w:t>ed</w:t>
      </w:r>
    </w:p>
    <w:p w14:paraId="685C079B" w14:textId="7CC9C118" w:rsidR="00BE69D0"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Only non-contention based random access is supported for secondary timing advance groups</w:t>
      </w:r>
    </w:p>
    <w:p w14:paraId="5D60CF67" w14:textId="52507985" w:rsidR="00BE69D0" w:rsidRDefault="00BE69D0" w:rsidP="00D94796">
      <w:pPr>
        <w:pStyle w:val="Heading2"/>
      </w:pPr>
      <w:r>
        <w:t>On multiple numerology support</w:t>
      </w:r>
    </w:p>
    <w:p w14:paraId="7452C060" w14:textId="56CEBEFA" w:rsidR="00BE69D0" w:rsidRDefault="00BE69D0" w:rsidP="00BE69D0">
      <w:r>
        <w:t xml:space="preserve">For support of CA and different numerologies on the different carriers one open issue is whether the PDCCH and PDSCH on the same carrier can have different numerologies. </w:t>
      </w:r>
      <w:r w:rsidR="00180366">
        <w:t>Strictly speak</w:t>
      </w:r>
      <w:r w:rsidR="00BF4987">
        <w:t>ing</w:t>
      </w:r>
      <w:r w:rsidR="00180366">
        <w:t xml:space="preserve"> we do not see use cases for this. One should further remember that each BW part is associated with a single numerology that includes the PDCCH and PDSCH if they are located on the same carriers. </w:t>
      </w:r>
    </w:p>
    <w:p w14:paraId="244086BC" w14:textId="6DD50CDC" w:rsidR="00180366" w:rsidRPr="00180366" w:rsidRDefault="00180366" w:rsidP="00BE69D0">
      <w:pPr>
        <w:rPr>
          <w:b/>
        </w:rPr>
      </w:pPr>
      <w:r w:rsidRPr="00180366">
        <w:rPr>
          <w:b/>
        </w:rPr>
        <w:t>Proposal</w:t>
      </w:r>
    </w:p>
    <w:p w14:paraId="56FF8579" w14:textId="179C9063" w:rsidR="001F6CB2" w:rsidRPr="002B647F" w:rsidRDefault="00180366" w:rsidP="000723DE">
      <w:pPr>
        <w:pStyle w:val="ListParagraph"/>
        <w:numPr>
          <w:ilvl w:val="0"/>
          <w:numId w:val="11"/>
        </w:numPr>
        <w:rPr>
          <w:i/>
        </w:rPr>
      </w:pPr>
      <w:r w:rsidRPr="002B647F">
        <w:rPr>
          <w:rFonts w:ascii="Arial" w:eastAsia="Times New Roman" w:hAnsi="Arial"/>
          <w:i/>
          <w:sz w:val="20"/>
          <w:szCs w:val="20"/>
          <w:lang w:val="en-GB" w:eastAsia="zh-CN"/>
        </w:rPr>
        <w:lastRenderedPageBreak/>
        <w:t>It is not support</w:t>
      </w:r>
      <w:r w:rsidR="00BF4987">
        <w:rPr>
          <w:rFonts w:ascii="Arial" w:eastAsia="Times New Roman" w:hAnsi="Arial"/>
          <w:i/>
          <w:sz w:val="20"/>
          <w:szCs w:val="20"/>
          <w:lang w:val="en-GB" w:eastAsia="zh-CN"/>
        </w:rPr>
        <w:t>ed that</w:t>
      </w:r>
      <w:r w:rsidRPr="002B647F">
        <w:rPr>
          <w:rFonts w:ascii="Arial" w:eastAsia="Times New Roman" w:hAnsi="Arial"/>
          <w:i/>
          <w:sz w:val="20"/>
          <w:szCs w:val="20"/>
          <w:lang w:val="en-GB" w:eastAsia="zh-CN"/>
        </w:rPr>
        <w:t xml:space="preserve"> for self-scheduling that PDCCH and the scheduled PDSCH have different numerologies</w:t>
      </w:r>
    </w:p>
    <w:p w14:paraId="2C1B6BD4" w14:textId="77777777" w:rsidR="00C01F33" w:rsidRPr="007B78FE" w:rsidRDefault="00C01F33" w:rsidP="00CE0424">
      <w:pPr>
        <w:pStyle w:val="Heading1"/>
        <w:rPr>
          <w:lang w:val="en-US"/>
        </w:rPr>
      </w:pPr>
      <w:r w:rsidRPr="007B78FE">
        <w:rPr>
          <w:lang w:val="en-US"/>
        </w:rPr>
        <w:t>Conclusion</w:t>
      </w:r>
    </w:p>
    <w:p w14:paraId="0E95D80F" w14:textId="66924309" w:rsidR="001154BD" w:rsidRDefault="008F47B9" w:rsidP="008E065E">
      <w:pPr>
        <w:rPr>
          <w:bCs/>
        </w:rPr>
      </w:pPr>
      <w:r>
        <w:rPr>
          <w:bCs/>
        </w:rPr>
        <w:t xml:space="preserve">In this contribution, we discuss </w:t>
      </w:r>
      <w:r w:rsidR="00E3294E">
        <w:rPr>
          <w:bCs/>
        </w:rPr>
        <w:t xml:space="preserve">CA handling for scheduling and feedback </w:t>
      </w:r>
      <w:r w:rsidR="003707D2">
        <w:rPr>
          <w:bCs/>
        </w:rPr>
        <w:t xml:space="preserve">based on the discussion we propose the following: </w:t>
      </w:r>
    </w:p>
    <w:p w14:paraId="169BBC1B" w14:textId="04FAD0EE" w:rsidR="00BF4987" w:rsidRPr="00E80B1C" w:rsidRDefault="00BF4987" w:rsidP="00BF4987">
      <w:pPr>
        <w:rPr>
          <w:b/>
        </w:rPr>
      </w:pPr>
      <w:r w:rsidRPr="00E80B1C">
        <w:rPr>
          <w:b/>
        </w:rPr>
        <w:t>Proposal</w:t>
      </w:r>
      <w:r>
        <w:rPr>
          <w:b/>
        </w:rPr>
        <w:t xml:space="preserve"> 1</w:t>
      </w:r>
    </w:p>
    <w:p w14:paraId="6F8C1EC3" w14:textId="77777777" w:rsidR="00BF4987" w:rsidRPr="008435CE" w:rsidRDefault="00BF4987" w:rsidP="00BF4987">
      <w:pPr>
        <w:pStyle w:val="ListParagraph"/>
        <w:numPr>
          <w:ilvl w:val="0"/>
          <w:numId w:val="14"/>
        </w:numPr>
        <w:rPr>
          <w:rFonts w:ascii="Arial" w:hAnsi="Arial" w:cs="Arial"/>
          <w:i/>
          <w:sz w:val="20"/>
          <w:szCs w:val="20"/>
        </w:rPr>
      </w:pPr>
      <w:r w:rsidRPr="008435CE">
        <w:rPr>
          <w:rFonts w:ascii="Arial" w:hAnsi="Arial" w:cs="Arial"/>
          <w:i/>
          <w:sz w:val="20"/>
          <w:szCs w:val="20"/>
        </w:rPr>
        <w:t>CIF field is 3 bits</w:t>
      </w:r>
    </w:p>
    <w:p w14:paraId="6D851F90" w14:textId="472EA25B" w:rsidR="00BF4987" w:rsidRDefault="00BF4987" w:rsidP="00BF4987">
      <w:pPr>
        <w:pStyle w:val="ListParagraph"/>
        <w:numPr>
          <w:ilvl w:val="0"/>
          <w:numId w:val="14"/>
        </w:numPr>
        <w:rPr>
          <w:rFonts w:ascii="Arial" w:hAnsi="Arial" w:cs="Arial"/>
          <w:i/>
          <w:sz w:val="20"/>
          <w:szCs w:val="20"/>
        </w:rPr>
      </w:pPr>
      <w:r w:rsidRPr="008435CE">
        <w:rPr>
          <w:rFonts w:ascii="Arial" w:hAnsi="Arial" w:cs="Arial"/>
          <w:i/>
          <w:sz w:val="20"/>
          <w:szCs w:val="20"/>
        </w:rPr>
        <w:t>No specific consideration is done for BWP and cross-carrier scheduling</w:t>
      </w:r>
    </w:p>
    <w:p w14:paraId="39060A76" w14:textId="77777777" w:rsidR="00BF4987" w:rsidRDefault="00BF4987" w:rsidP="00BF4987">
      <w:pPr>
        <w:rPr>
          <w:b/>
        </w:rPr>
      </w:pPr>
    </w:p>
    <w:p w14:paraId="61D008F7" w14:textId="01FB138E" w:rsidR="00BF4987" w:rsidRPr="008435CE" w:rsidRDefault="00BF4987" w:rsidP="00BF4987">
      <w:pPr>
        <w:rPr>
          <w:b/>
        </w:rPr>
      </w:pPr>
      <w:r w:rsidRPr="008435CE">
        <w:rPr>
          <w:b/>
        </w:rPr>
        <w:t>Proposal</w:t>
      </w:r>
      <w:r>
        <w:rPr>
          <w:b/>
        </w:rPr>
        <w:t xml:space="preserve"> 2</w:t>
      </w:r>
    </w:p>
    <w:p w14:paraId="04F4D921" w14:textId="77777777" w:rsidR="00BF4987" w:rsidRPr="008435CE" w:rsidRDefault="00BF4987" w:rsidP="00BF4987">
      <w:pPr>
        <w:pStyle w:val="ListParagraph"/>
        <w:numPr>
          <w:ilvl w:val="0"/>
          <w:numId w:val="15"/>
        </w:numPr>
        <w:rPr>
          <w:rFonts w:ascii="Arial" w:hAnsi="Arial" w:cs="Arial"/>
          <w:i/>
          <w:sz w:val="20"/>
          <w:szCs w:val="20"/>
        </w:rPr>
      </w:pPr>
      <w:r w:rsidRPr="008435CE">
        <w:rPr>
          <w:rFonts w:ascii="Arial" w:hAnsi="Arial" w:cs="Arial"/>
          <w:i/>
          <w:sz w:val="20"/>
          <w:szCs w:val="20"/>
        </w:rPr>
        <w:t>The UE monitors for random access response messages and paging on the common search space</w:t>
      </w:r>
    </w:p>
    <w:p w14:paraId="403A81F5" w14:textId="77777777" w:rsidR="00BF4987" w:rsidRPr="008435CE" w:rsidRDefault="00BF4987" w:rsidP="00BF4987">
      <w:pPr>
        <w:pStyle w:val="ListParagraph"/>
        <w:numPr>
          <w:ilvl w:val="0"/>
          <w:numId w:val="15"/>
        </w:numPr>
        <w:rPr>
          <w:rFonts w:ascii="Arial" w:hAnsi="Arial" w:cs="Arial"/>
          <w:i/>
          <w:sz w:val="20"/>
          <w:szCs w:val="20"/>
        </w:rPr>
      </w:pPr>
      <w:r w:rsidRPr="008435CE">
        <w:rPr>
          <w:rFonts w:ascii="Arial" w:hAnsi="Arial" w:cs="Arial"/>
          <w:i/>
          <w:sz w:val="20"/>
          <w:szCs w:val="20"/>
        </w:rPr>
        <w:t>The UE does not monitor the common search space on secondary component carriers</w:t>
      </w:r>
    </w:p>
    <w:p w14:paraId="63174F54" w14:textId="63F02F7F" w:rsidR="00BF4987" w:rsidRDefault="00BF4987" w:rsidP="00D269FA">
      <w:pPr>
        <w:pStyle w:val="ListParagraph"/>
        <w:rPr>
          <w:rFonts w:ascii="Arial" w:hAnsi="Arial" w:cs="Arial"/>
          <w:i/>
          <w:sz w:val="20"/>
          <w:szCs w:val="20"/>
        </w:rPr>
      </w:pPr>
    </w:p>
    <w:p w14:paraId="54039685" w14:textId="498BA421" w:rsidR="00BF4987" w:rsidRPr="008435CE" w:rsidRDefault="00BF4987" w:rsidP="00BF4987">
      <w:pPr>
        <w:rPr>
          <w:b/>
        </w:rPr>
      </w:pPr>
      <w:r w:rsidRPr="008435CE">
        <w:rPr>
          <w:b/>
        </w:rPr>
        <w:t>Proposal</w:t>
      </w:r>
      <w:r>
        <w:rPr>
          <w:b/>
        </w:rPr>
        <w:t xml:space="preserve"> 3</w:t>
      </w:r>
    </w:p>
    <w:p w14:paraId="28B2476E" w14:textId="77777777" w:rsidR="00BF4987" w:rsidRPr="00BE69D0" w:rsidRDefault="00BF4987" w:rsidP="00BF4987">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4 timing advance groups are support</w:t>
      </w:r>
      <w:r>
        <w:rPr>
          <w:rFonts w:ascii="Arial" w:eastAsia="Times New Roman" w:hAnsi="Arial"/>
          <w:i/>
          <w:sz w:val="20"/>
          <w:szCs w:val="20"/>
          <w:lang w:val="en-GB" w:eastAsia="zh-CN"/>
        </w:rPr>
        <w:t>ed</w:t>
      </w:r>
    </w:p>
    <w:p w14:paraId="5A6B1C01" w14:textId="77777777" w:rsidR="00BF4987" w:rsidRPr="00BE69D0" w:rsidRDefault="00BF4987" w:rsidP="00BF4987">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Only non-contention based random access is supported for secondary timing advance groups</w:t>
      </w:r>
    </w:p>
    <w:p w14:paraId="105B047D" w14:textId="7F2A1DDB" w:rsidR="00BF4987" w:rsidRDefault="00BF4987" w:rsidP="00D269FA">
      <w:pPr>
        <w:pStyle w:val="ListParagraph"/>
        <w:rPr>
          <w:rFonts w:ascii="Arial" w:hAnsi="Arial" w:cs="Arial"/>
          <w:i/>
          <w:sz w:val="20"/>
          <w:szCs w:val="20"/>
        </w:rPr>
      </w:pPr>
    </w:p>
    <w:p w14:paraId="73173168" w14:textId="0653070F" w:rsidR="00BF4987" w:rsidRPr="00180366" w:rsidRDefault="00BF4987" w:rsidP="00BF4987">
      <w:pPr>
        <w:rPr>
          <w:b/>
        </w:rPr>
      </w:pPr>
      <w:r w:rsidRPr="00180366">
        <w:rPr>
          <w:b/>
        </w:rPr>
        <w:t>Proposal</w:t>
      </w:r>
      <w:r>
        <w:rPr>
          <w:b/>
        </w:rPr>
        <w:t xml:space="preserve"> 4</w:t>
      </w:r>
    </w:p>
    <w:p w14:paraId="5BCF5C8A" w14:textId="77777777" w:rsidR="00BF4987" w:rsidRPr="002B647F" w:rsidRDefault="00BF4987" w:rsidP="00BF4987">
      <w:pPr>
        <w:pStyle w:val="ListParagraph"/>
        <w:numPr>
          <w:ilvl w:val="0"/>
          <w:numId w:val="11"/>
        </w:numPr>
        <w:rPr>
          <w:i/>
        </w:rPr>
      </w:pPr>
      <w:r w:rsidRPr="002B647F">
        <w:rPr>
          <w:rFonts w:ascii="Arial" w:eastAsia="Times New Roman" w:hAnsi="Arial"/>
          <w:i/>
          <w:sz w:val="20"/>
          <w:szCs w:val="20"/>
          <w:lang w:val="en-GB" w:eastAsia="zh-CN"/>
        </w:rPr>
        <w:t>It is not support</w:t>
      </w:r>
      <w:r>
        <w:rPr>
          <w:rFonts w:ascii="Arial" w:eastAsia="Times New Roman" w:hAnsi="Arial"/>
          <w:i/>
          <w:sz w:val="20"/>
          <w:szCs w:val="20"/>
          <w:lang w:val="en-GB" w:eastAsia="zh-CN"/>
        </w:rPr>
        <w:t>ed that</w:t>
      </w:r>
      <w:r w:rsidRPr="002B647F">
        <w:rPr>
          <w:rFonts w:ascii="Arial" w:eastAsia="Times New Roman" w:hAnsi="Arial"/>
          <w:i/>
          <w:sz w:val="20"/>
          <w:szCs w:val="20"/>
          <w:lang w:val="en-GB" w:eastAsia="zh-CN"/>
        </w:rPr>
        <w:t xml:space="preserve"> for self-scheduling that PDCCH and the scheduled PDSCH have different numerologies</w:t>
      </w:r>
    </w:p>
    <w:p w14:paraId="57B73A36" w14:textId="77777777" w:rsidR="00F507D1" w:rsidRPr="007B78FE" w:rsidRDefault="00F507D1" w:rsidP="00CE0424">
      <w:pPr>
        <w:pStyle w:val="Heading1"/>
        <w:rPr>
          <w:lang w:val="en-US"/>
        </w:rPr>
      </w:pPr>
      <w:bookmarkStart w:id="6" w:name="_In-sequence_SDU_delivery"/>
      <w:bookmarkEnd w:id="6"/>
      <w:r w:rsidRPr="007B78FE">
        <w:rPr>
          <w:lang w:val="en-US"/>
        </w:rPr>
        <w:t>References</w:t>
      </w:r>
    </w:p>
    <w:p w14:paraId="3618435D" w14:textId="039111CA" w:rsidR="00221CBF" w:rsidRDefault="00221CBF" w:rsidP="00221CBF">
      <w:pPr>
        <w:pStyle w:val="Reference"/>
      </w:pPr>
      <w:bookmarkStart w:id="7" w:name="_Ref473934775"/>
      <w:bookmarkStart w:id="8" w:name="_Ref481744756"/>
      <w:bookmarkStart w:id="9" w:name="_Ref174151459"/>
      <w:bookmarkStart w:id="10" w:name="_Ref189809556"/>
      <w:r w:rsidRPr="007B78FE">
        <w:t>Chairman’s Notes, 3GPP TSG RAN WG1 Meeting#8</w:t>
      </w:r>
      <w:bookmarkEnd w:id="7"/>
      <w:bookmarkEnd w:id="8"/>
      <w:r w:rsidR="00ED2A30">
        <w:t>9</w:t>
      </w:r>
      <w:r w:rsidRPr="007B78FE">
        <w:t xml:space="preserve"> </w:t>
      </w:r>
      <w:bookmarkEnd w:id="9"/>
      <w:bookmarkEnd w:id="10"/>
    </w:p>
    <w:p w14:paraId="4FF9375E" w14:textId="1ED2DD1B" w:rsidR="00FC1C60" w:rsidRPr="00DC12C2" w:rsidRDefault="00D85EA9" w:rsidP="00D85EA9">
      <w:pPr>
        <w:pStyle w:val="Reference"/>
      </w:pPr>
      <w:bookmarkStart w:id="11" w:name="_Ref485300160"/>
      <w:r w:rsidRPr="00D85EA9">
        <w:t>R1-1711500</w:t>
      </w:r>
      <w:r w:rsidR="00FC1C60">
        <w:tab/>
      </w:r>
      <w:r w:rsidR="00FC1C60" w:rsidRPr="00DC12C2">
        <w:t xml:space="preserve">On Resource Allocation in the </w:t>
      </w:r>
      <w:r w:rsidR="00FC1C60">
        <w:t>Time</w:t>
      </w:r>
      <w:r w:rsidR="00FC1C60" w:rsidRPr="00DC12C2">
        <w:t xml:space="preserve"> Domain</w:t>
      </w:r>
      <w:r w:rsidR="00FC1C60">
        <w:tab/>
        <w:t>Ericsson</w:t>
      </w:r>
      <w:bookmarkEnd w:id="11"/>
    </w:p>
    <w:p w14:paraId="525109A5" w14:textId="49C677AA" w:rsidR="00FC1C60" w:rsidRPr="00DC12C2" w:rsidRDefault="00D85EA9" w:rsidP="00D85EA9">
      <w:pPr>
        <w:pStyle w:val="Reference"/>
      </w:pPr>
      <w:bookmarkStart w:id="12" w:name="_Ref485300167"/>
      <w:r w:rsidRPr="00D85EA9">
        <w:t>R1-1711499</w:t>
      </w:r>
      <w:r w:rsidR="00FC1C60">
        <w:tab/>
      </w:r>
      <w:r w:rsidR="00FC1C60" w:rsidRPr="00DC12C2">
        <w:t>On Resource Allocation in the Frequency Domain</w:t>
      </w:r>
      <w:r w:rsidR="00FC1C60">
        <w:tab/>
        <w:t>Ericsson</w:t>
      </w:r>
      <w:bookmarkEnd w:id="12"/>
    </w:p>
    <w:p w14:paraId="6F6426FB" w14:textId="5BE99A4B" w:rsidR="00FC1C60" w:rsidRPr="00715A0E" w:rsidRDefault="00D85EA9" w:rsidP="00D85EA9">
      <w:pPr>
        <w:pStyle w:val="Reference"/>
      </w:pPr>
      <w:bookmarkStart w:id="13" w:name="_Ref485301444"/>
      <w:r w:rsidRPr="00D85EA9">
        <w:t>R1-1711516</w:t>
      </w:r>
      <w:r w:rsidR="005A195D">
        <w:tab/>
      </w:r>
      <w:r w:rsidR="005A195D" w:rsidRPr="008F1B97">
        <w:rPr>
          <w:rFonts w:eastAsia="MS Mincho"/>
          <w:lang w:eastAsia="ja-JP"/>
        </w:rPr>
        <w:t>On Mixed Numerology</w:t>
      </w:r>
      <w:r w:rsidR="005A195D">
        <w:rPr>
          <w:rFonts w:eastAsia="MS Mincho"/>
          <w:lang w:eastAsia="ja-JP"/>
        </w:rPr>
        <w:tab/>
        <w:t>Ericsson</w:t>
      </w:r>
      <w:bookmarkEnd w:id="13"/>
    </w:p>
    <w:p w14:paraId="225DD73A" w14:textId="0B51F02C" w:rsidR="00A0387B" w:rsidRDefault="00D85EA9" w:rsidP="00D85EA9">
      <w:pPr>
        <w:pStyle w:val="Reference"/>
      </w:pPr>
      <w:bookmarkStart w:id="14" w:name="_Ref485371122"/>
      <w:r w:rsidRPr="00D85EA9">
        <w:t>R1-1711511</w:t>
      </w:r>
      <w:r w:rsidR="00A0387B">
        <w:t xml:space="preserve"> </w:t>
      </w:r>
      <w:r w:rsidR="00A0387B" w:rsidRPr="00A0387B">
        <w:t>On Minimum Processing Time and Number of HARQ Processes in NR On Minimum Processing Time and Number of HARQ Processes in NR</w:t>
      </w:r>
      <w:r w:rsidR="00A0387B">
        <w:tab/>
        <w:t xml:space="preserve">   Ericsson</w:t>
      </w:r>
      <w:bookmarkEnd w:id="14"/>
    </w:p>
    <w:p w14:paraId="06336D8A" w14:textId="0BA82C35" w:rsidR="00832408" w:rsidRDefault="00D85EA9" w:rsidP="00D85EA9">
      <w:pPr>
        <w:pStyle w:val="Reference"/>
      </w:pPr>
      <w:bookmarkStart w:id="15" w:name="_Ref485371450"/>
      <w:r w:rsidRPr="00D85EA9">
        <w:t>R1-1711510</w:t>
      </w:r>
      <w:r>
        <w:t xml:space="preserve"> </w:t>
      </w:r>
      <w:r w:rsidR="00832408">
        <w:t>On HARQ codebook</w:t>
      </w:r>
      <w:r w:rsidR="00832408">
        <w:tab/>
        <w:t>Ericsson</w:t>
      </w:r>
      <w:bookmarkEnd w:id="15"/>
    </w:p>
    <w:sectPr w:rsidR="0083240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1A3E1" w14:textId="77777777" w:rsidR="00683C0E" w:rsidRDefault="00683C0E">
      <w:r>
        <w:separator/>
      </w:r>
    </w:p>
  </w:endnote>
  <w:endnote w:type="continuationSeparator" w:id="0">
    <w:p w14:paraId="5D684D50" w14:textId="77777777" w:rsidR="00683C0E" w:rsidRDefault="0068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76ABF" w14:textId="77777777" w:rsidR="00693BA9" w:rsidRDefault="00693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CDAC7B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57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579A">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4A76" w14:textId="77777777" w:rsidR="00693BA9" w:rsidRDefault="00693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EDDAD" w14:textId="77777777" w:rsidR="00683C0E" w:rsidRDefault="00683C0E">
      <w:r>
        <w:separator/>
      </w:r>
    </w:p>
  </w:footnote>
  <w:footnote w:type="continuationSeparator" w:id="0">
    <w:p w14:paraId="4063115B" w14:textId="77777777" w:rsidR="00683C0E" w:rsidRDefault="0068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7A435" w14:textId="77777777" w:rsidR="00693BA9" w:rsidRDefault="00693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5B90B" w14:textId="77777777" w:rsidR="00693BA9" w:rsidRDefault="0069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8550DD"/>
    <w:multiLevelType w:val="hybridMultilevel"/>
    <w:tmpl w:val="EC506EB2"/>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C8D5098"/>
    <w:multiLevelType w:val="hybridMultilevel"/>
    <w:tmpl w:val="46CEA7C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491D9A"/>
    <w:multiLevelType w:val="hybridMultilevel"/>
    <w:tmpl w:val="F65CD0A0"/>
    <w:lvl w:ilvl="0" w:tplc="7B4A4510">
      <w:numFmt w:val="bullet"/>
      <w:lvlText w:val="-"/>
      <w:lvlJc w:val="left"/>
      <w:pPr>
        <w:ind w:left="1800" w:hanging="360"/>
      </w:pPr>
      <w:rPr>
        <w:rFonts w:ascii="Arial" w:eastAsia="MS Mincho" w:hAnsi="Arial" w:cs="Aria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F608CC"/>
    <w:multiLevelType w:val="hybridMultilevel"/>
    <w:tmpl w:val="71541BB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12"/>
  </w:num>
  <w:num w:numId="10">
    <w:abstractNumId w:val="16"/>
  </w:num>
  <w:num w:numId="11">
    <w:abstractNumId w:val="14"/>
  </w:num>
  <w:num w:numId="12">
    <w:abstractNumId w:val="2"/>
  </w:num>
  <w:num w:numId="13">
    <w:abstractNumId w:val="7"/>
  </w:num>
  <w:num w:numId="14">
    <w:abstractNumId w:val="1"/>
  </w:num>
  <w:num w:numId="15">
    <w:abstractNumId w:val="4"/>
  </w:num>
  <w:num w:numId="16">
    <w:abstractNumId w:val="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3ED0"/>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B726C"/>
    <w:rsid w:val="000C165A"/>
    <w:rsid w:val="000C27FD"/>
    <w:rsid w:val="000C2E19"/>
    <w:rsid w:val="000D0D07"/>
    <w:rsid w:val="000D4797"/>
    <w:rsid w:val="000E0527"/>
    <w:rsid w:val="000E1E92"/>
    <w:rsid w:val="000E235F"/>
    <w:rsid w:val="000E474B"/>
    <w:rsid w:val="000E4FF4"/>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0366"/>
    <w:rsid w:val="0018143F"/>
    <w:rsid w:val="00186D76"/>
    <w:rsid w:val="00190AC1"/>
    <w:rsid w:val="00191947"/>
    <w:rsid w:val="0019341A"/>
    <w:rsid w:val="00197DF9"/>
    <w:rsid w:val="001A1987"/>
    <w:rsid w:val="001A2564"/>
    <w:rsid w:val="001A6173"/>
    <w:rsid w:val="001A6CBA"/>
    <w:rsid w:val="001B0D97"/>
    <w:rsid w:val="001B4B1C"/>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6CB2"/>
    <w:rsid w:val="001F7074"/>
    <w:rsid w:val="00200490"/>
    <w:rsid w:val="00200A2C"/>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6E4"/>
    <w:rsid w:val="00296F44"/>
    <w:rsid w:val="002972F4"/>
    <w:rsid w:val="0029777D"/>
    <w:rsid w:val="002A055E"/>
    <w:rsid w:val="002A1D4E"/>
    <w:rsid w:val="002A2869"/>
    <w:rsid w:val="002A7427"/>
    <w:rsid w:val="002B24D6"/>
    <w:rsid w:val="002B335C"/>
    <w:rsid w:val="002B647F"/>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1C51"/>
    <w:rsid w:val="003726B6"/>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75A"/>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2E76"/>
    <w:rsid w:val="004734D0"/>
    <w:rsid w:val="0047556B"/>
    <w:rsid w:val="00477768"/>
    <w:rsid w:val="00492BC5"/>
    <w:rsid w:val="004964F1"/>
    <w:rsid w:val="004A16BC"/>
    <w:rsid w:val="004A2B94"/>
    <w:rsid w:val="004B520E"/>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1D4F"/>
    <w:rsid w:val="00554E19"/>
    <w:rsid w:val="0056121F"/>
    <w:rsid w:val="00572505"/>
    <w:rsid w:val="00582809"/>
    <w:rsid w:val="0058335A"/>
    <w:rsid w:val="00583385"/>
    <w:rsid w:val="0058798C"/>
    <w:rsid w:val="005900FA"/>
    <w:rsid w:val="005935A4"/>
    <w:rsid w:val="005948C2"/>
    <w:rsid w:val="00595DCA"/>
    <w:rsid w:val="0059779B"/>
    <w:rsid w:val="005A195D"/>
    <w:rsid w:val="005A209A"/>
    <w:rsid w:val="005A6262"/>
    <w:rsid w:val="005A662D"/>
    <w:rsid w:val="005A7282"/>
    <w:rsid w:val="005B35D7"/>
    <w:rsid w:val="005B392A"/>
    <w:rsid w:val="005B3AA3"/>
    <w:rsid w:val="005B6F83"/>
    <w:rsid w:val="005C3D26"/>
    <w:rsid w:val="005C74FB"/>
    <w:rsid w:val="005D1602"/>
    <w:rsid w:val="005D1DE7"/>
    <w:rsid w:val="005D6A04"/>
    <w:rsid w:val="005E17A9"/>
    <w:rsid w:val="005E385F"/>
    <w:rsid w:val="005E3C36"/>
    <w:rsid w:val="005E5B81"/>
    <w:rsid w:val="005F2CB1"/>
    <w:rsid w:val="005F3025"/>
    <w:rsid w:val="005F618C"/>
    <w:rsid w:val="005F70BD"/>
    <w:rsid w:val="0060283C"/>
    <w:rsid w:val="0060397D"/>
    <w:rsid w:val="00604F14"/>
    <w:rsid w:val="00611B83"/>
    <w:rsid w:val="00613257"/>
    <w:rsid w:val="00616D26"/>
    <w:rsid w:val="00620A71"/>
    <w:rsid w:val="00620D80"/>
    <w:rsid w:val="006212A9"/>
    <w:rsid w:val="006234A6"/>
    <w:rsid w:val="00626DD2"/>
    <w:rsid w:val="00627D28"/>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64"/>
    <w:rsid w:val="00674CC3"/>
    <w:rsid w:val="00675C72"/>
    <w:rsid w:val="006771F9"/>
    <w:rsid w:val="006776D7"/>
    <w:rsid w:val="00681003"/>
    <w:rsid w:val="006816F7"/>
    <w:rsid w:val="006817C9"/>
    <w:rsid w:val="00683C0E"/>
    <w:rsid w:val="00683ECE"/>
    <w:rsid w:val="0068441C"/>
    <w:rsid w:val="0068756A"/>
    <w:rsid w:val="00693BA9"/>
    <w:rsid w:val="00695A55"/>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A0E"/>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FBC"/>
    <w:rsid w:val="007925EA"/>
    <w:rsid w:val="00793CD8"/>
    <w:rsid w:val="00795C92"/>
    <w:rsid w:val="00796231"/>
    <w:rsid w:val="00797B44"/>
    <w:rsid w:val="00797EA3"/>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3A69"/>
    <w:rsid w:val="007D4D53"/>
    <w:rsid w:val="007D5901"/>
    <w:rsid w:val="007D7526"/>
    <w:rsid w:val="007E26DB"/>
    <w:rsid w:val="007E4610"/>
    <w:rsid w:val="007E4715"/>
    <w:rsid w:val="007E505B"/>
    <w:rsid w:val="007E7091"/>
    <w:rsid w:val="00803FAE"/>
    <w:rsid w:val="0080605F"/>
    <w:rsid w:val="00806114"/>
    <w:rsid w:val="00807786"/>
    <w:rsid w:val="00811FCB"/>
    <w:rsid w:val="008158D6"/>
    <w:rsid w:val="00817196"/>
    <w:rsid w:val="008235DB"/>
    <w:rsid w:val="00824AB4"/>
    <w:rsid w:val="00825C42"/>
    <w:rsid w:val="00825D25"/>
    <w:rsid w:val="00827D17"/>
    <w:rsid w:val="00827D6F"/>
    <w:rsid w:val="00832408"/>
    <w:rsid w:val="008376AC"/>
    <w:rsid w:val="008435CE"/>
    <w:rsid w:val="008444E8"/>
    <w:rsid w:val="00844E80"/>
    <w:rsid w:val="00846505"/>
    <w:rsid w:val="00846FE7"/>
    <w:rsid w:val="008565AD"/>
    <w:rsid w:val="00856911"/>
    <w:rsid w:val="008677FD"/>
    <w:rsid w:val="008706D4"/>
    <w:rsid w:val="0087078B"/>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4764"/>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6D8"/>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387B"/>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97A83"/>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1C25"/>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69D0"/>
    <w:rsid w:val="00BE7406"/>
    <w:rsid w:val="00BE7603"/>
    <w:rsid w:val="00BF3279"/>
    <w:rsid w:val="00BF4987"/>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63AE"/>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5F8B"/>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0AB7"/>
    <w:rsid w:val="00D21F5F"/>
    <w:rsid w:val="00D239A7"/>
    <w:rsid w:val="00D23F47"/>
    <w:rsid w:val="00D269FA"/>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06D2"/>
    <w:rsid w:val="00D61AF5"/>
    <w:rsid w:val="00D652B5"/>
    <w:rsid w:val="00D66155"/>
    <w:rsid w:val="00D708B0"/>
    <w:rsid w:val="00D74894"/>
    <w:rsid w:val="00D77B1D"/>
    <w:rsid w:val="00D77E33"/>
    <w:rsid w:val="00D8021F"/>
    <w:rsid w:val="00D80383"/>
    <w:rsid w:val="00D80D28"/>
    <w:rsid w:val="00D823C6"/>
    <w:rsid w:val="00D85EA9"/>
    <w:rsid w:val="00D86CA3"/>
    <w:rsid w:val="00D871CE"/>
    <w:rsid w:val="00D9196D"/>
    <w:rsid w:val="00D92982"/>
    <w:rsid w:val="00D94796"/>
    <w:rsid w:val="00D9772C"/>
    <w:rsid w:val="00DA2C7B"/>
    <w:rsid w:val="00DA305E"/>
    <w:rsid w:val="00DA5417"/>
    <w:rsid w:val="00DA56E8"/>
    <w:rsid w:val="00DB0A9F"/>
    <w:rsid w:val="00DB377D"/>
    <w:rsid w:val="00DB579A"/>
    <w:rsid w:val="00DC032C"/>
    <w:rsid w:val="00DC2D36"/>
    <w:rsid w:val="00DC53EF"/>
    <w:rsid w:val="00DE1D90"/>
    <w:rsid w:val="00DE402A"/>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294E"/>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0B1C"/>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1E84"/>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641E"/>
    <w:rsid w:val="00FB4C80"/>
    <w:rsid w:val="00FB6A6A"/>
    <w:rsid w:val="00FB7575"/>
    <w:rsid w:val="00FC0B15"/>
    <w:rsid w:val="00FC1C60"/>
    <w:rsid w:val="00FC5EFD"/>
    <w:rsid w:val="00FC7429"/>
    <w:rsid w:val="00FD07F6"/>
    <w:rsid w:val="00FD1EC8"/>
    <w:rsid w:val="00FD47C7"/>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466D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466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6D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66E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8419DD31-24A8-47F6-8160-22345B04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2017-08-12T00:47:00Z</dcterms:created>
  <dcterms:modified xsi:type="dcterms:W3CDTF">2017-08-12T00:47:00Z</dcterms:modified>
</cp:coreProperties>
</file>